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24 21 vom 13. November 2024</w:t>
      </w:r>
    </w:p>
    <w:p>
      <w:r>
        <w:t>UR Obergericht, 2024-11-13, DE</w:t>
      </w:r>
    </w:p>
    <w:p>
      <w:r>
        <w:rPr>
          <w:b/>
        </w:rPr>
        <w:t xml:space="preserve">Quelle: </w:t>
      </w:r>
      <w:r>
        <w:t>https://mcp.opencaselaw.ch/entscheid/ur_gerichte_OG V 24 21</w:t>
      </w:r>
    </w:p>
    <w:p>
      <w:r>
        <w:t>FR: UR_GERICHTE OG V 24 21 du 13 novembre 2024</w:t>
      </w:r>
    </w:p>
    <w:p>
      <w:r>
        <w:t>IT: UR_GERICHTE OG V 24 21 del 13 novembre 2024</w:t>
      </w:r>
    </w:p>
    <w:p>
      <w:pPr>
        <w:pStyle w:val="Heading2"/>
      </w:pPr>
      <w:r>
        <w:t>Erwägungen</w:t>
      </w:r>
    </w:p>
    <w:p>
      <w:r>
        <w:rPr>
          <w:b/>
        </w:rPr>
        <w:t>E. 1</w:t>
      </w:r>
    </w:p>
    <w:p>
      <w:r>
        <w:t>Nach Art. 53 Abs. 3 Bundesgesetz über den Allgemeinen Teil des Sozialversicherungsrechts (ATSG, SR 830.1) kann der Versicherungsträger eine Verfügung oder einen Einspracheentscheid, gegen die oder den Beschwerde erhoben wurde, so lange wiedererwägen, bis er gegenüber der Beschwerdebe- hörde Stellung nimmt. Mit der Wiedererwägung pendente lite soll dem objektiven Recht auf möglichst einfache Weise zum Durchbruch verholfen werden, ohne dass die Verwaltung an die Wiedererwä- gungsvoraussetzungen gebunden ist (Thomas Locher, Grundriss des Sozialversicherungsrechts,</w:t>
      </w:r>
    </w:p>
    <w:p>
      <w:r>
        <w:rPr>
          <w:b/>
        </w:rPr>
        <w:t>E. 4</w:t>
      </w:r>
    </w:p>
    <w:p>
      <w:r>
        <w:t>Die Gerichtsgebühr für das Verfahren vor Obergericht wird auf CHF 400.00 festgesetzt (Art. 69 Abs. 1bis Bundesgesetz über die Invalidenversicherung [IVG, SR 831.20], Art. 6 Verordnung über die Gebühren und Entschädigungen vor Gerichtsbehörden [Gerichtsgebührenverordnung, GGebV, RB 2.3231]). Diese ist zuzüglich Barauslagen (pauschal; Art. 25 Abs. 2 Reglement über die Gebühren und Entschädigungen vor Gerichtsbehörden [Gerichtsgebührenreglement, GGebR, RB 2.3232]) entsprechend dem Ausgang des Verfahrens (Art. 61 ATSG i.V.m. Art. 34 Abs. 1 lit. b Verordnung über die Verwaltungsrechtspflege [VRPV, RB 2.2345]) der Beschwerdegegnerin aufzuerlegen.</w:t>
      </w:r>
    </w:p>
    <w:p>
      <w:r>
        <w:rPr>
          <w:b/>
        </w:rPr>
        <w:t>E. 5</w:t>
      </w:r>
    </w:p>
    <w:p>
      <w:r>
        <w:t>Nach Art. 61 lit. g ATSG hat die Beschwerde führende Partei bei Obsiegen Anspruch auf eine Parteient- schädigung, wobei als Obsiegen auch das Abschreiben des Verfahrens infolge Gegenstandslosigkeit gilt, soweit die Prozessaussichten, wie sie sich vor Eintritt der Gegenstandslosigkeit darboten, eine Ent- schädigung rechtfertigen und die Partei nicht ihre Mitwirkungspflichten verletzt und dadurch einen unnötigen Prozess verursacht hat (SVR 2004 ALV Nr. 8 S. 22 E. 3.1). Vorliegend waren die Prozessaus- sichten intakt und auch das Verhalten der Beschwerdeführerin steht einem Entschädigungsanspruch nicht entgegen. Demzufolge ist der Beschwerdeführerin für das Verfahren vor Obergericht eine Par- teientschädigung zulasten der Beschwerdegegnerin (Art. 37 Abs. 3 VRPV) zuzusprechen.</w:t>
      </w:r>
    </w:p>
    <w:p>
      <w:r>
        <w:rPr>
          <w:b/>
        </w:rPr>
        <w:t>E. 5.1</w:t>
      </w:r>
    </w:p>
    <w:p>
      <w:r>
        <w:t>Die Parteientschädigung ist ohne Rücksicht auf den Streitwert, nach der Bedeutung der Streitsa- che und der Schwierigkeit des Prozesses zu bemessen (Art. 61 lit. g ATSG; Ueli Kieser, ATSG- Kommentar, 4. Aufl., Zürich 2020, N 228 zu Art. 61).</w:t>
      </w:r>
    </w:p>
    <w:p>
      <w:r>
        <w:rPr>
          <w:b/>
        </w:rPr>
        <w:t>E. 5.2</w:t>
      </w:r>
    </w:p>
    <w:p>
      <w:r>
        <w:t>Die Rechtsvertreterin der Beschwerdeführerin hat in ihrer am 31. Oktober 2024 eingereichten Kostennote ein Honorar von CHF 3'750.00 (12.50 Stunden à CHF 300.00), eine Auslagenpauschale von CHF 112.50 (3% von CHF 3'750) aufgeführt, woraus ein Totalbetrag von CHF 4'175.35 resultierte (= 3'862.50 + MwSt.).</w:t>
      </w:r>
    </w:p>
    <w:p>
      <w:r>
        <w:t>Seite 4 von 5</w:t>
      </w:r>
    </w:p>
    <w:p>
      <w:r>
        <w:rPr>
          <w:b/>
        </w:rPr>
        <w:t>E. 5.2.1</w:t>
      </w:r>
    </w:p>
    <w:p>
      <w:r>
        <w:t>Der Stundenansatz bei der Anwaltsentschädigung beträgt in der Regel – so auch vorliegend – CHF 260.00 exklusive Mehrwertsteuer (Art. 34 Abs. 1 und 4 GGebR). Unter Berücksichtigung dieses Stundenansatzes resultiert beim vorliegend geltend gemachten Zeitaufwand ein Honorar von CHF 3'250.00 und eine Auslagenpauschale von CHF 97.50, was (zuzüglich Mehrwertsteuer) einen To- talbetrag von CHF 3'618.65 (= 3'347.50 * 1.081) ergibt.</w:t>
      </w:r>
    </w:p>
    <w:p>
      <w:r>
        <w:rPr>
          <w:b/>
        </w:rPr>
        <w:t>E. 5.2.2</w:t>
      </w:r>
    </w:p>
    <w:p>
      <w:r>
        <w:t>Da der geltend gemachte Zeitaufwand von 12.5 Stunden vorliegend angemessen erscheint, ist der Beschwerdeführerin eine Parteientschädigung von insgesamt CHF 3'618.65 zuzusprechen (Art. 27 Abs. 2 lit. c GGebV i.V.m. Art. 32 Abs. 1 GGebR).</w:t>
      </w:r>
    </w:p>
    <w:p>
      <w:r>
        <w:t>Seite 5 von 5 Das Obergericht beschliesst: 1. Die Verwaltungsgerichtsbeschwerde wird am Geschäftsprotokoll abgeschrieben. 2. Die amtlichen Kosten, bestehend aus</w:t>
      </w:r>
    </w:p>
    <w:p>
      <w:r>
        <w:t>CHF 400.00 Gerichtsgebühr</w:t>
      </w:r>
    </w:p>
    <w:p>
      <w:r>
        <w:t>CHF 30.00 Barauslagen (pauschal)</w:t>
      </w:r>
    </w:p>
    <w:p>
      <w:r>
        <w:t>CHF 430.00 Total,</w:t>
      </w:r>
    </w:p>
    <w:p>
      <w:r>
        <w:t>werden der Beschwerdegegnerin auferlegt. 3. Die Beschwerdegegnerin hat der Beschwerdeführerin eine Parteientschädigung von CHF 3'618.65 zu entrichten. 4. Eröffnung:</w:t>
      </w:r>
    </w:p>
    <w:p>
      <w:r>
        <w:t>- Beschwerdeführerin</w:t>
      </w:r>
    </w:p>
    <w:p>
      <w:r>
        <w:t>- Beschwerdegegnerin</w:t>
      </w:r>
    </w:p>
    <w:p>
      <w:r>
        <w:t>- Bundesamt für Sozialversicherungen</w:t>
      </w:r>
    </w:p>
    <w:p>
      <w:r>
        <w:t>Altdorf, 13. November 2024 OBERGERICHT DES KANTONS URI Verwaltungsrechtliche Abteilung Die Präsidentin Die Gerichtsschreiberin Agnes H. Planzer Stüssi Claudia Schlüssel</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